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DC3F0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Adelanto</w:t>
      </w:r>
    </w:p>
    <w:p w:rsidR="00DC3F01" w:rsidRDefault="00DC3F0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DC3F01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DC3F01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DC3F0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DC3F01" w:rsidRPr="00DC3F01" w:rsidRDefault="00DC3F01">
      <w:pPr>
        <w:rPr>
          <w:rFonts w:ascii="Californian FB" w:hAnsi="Californian FB"/>
          <w:sz w:val="40"/>
          <w:szCs w:val="40"/>
        </w:rPr>
      </w:pPr>
      <w:bookmarkStart w:id="0" w:name="_GoBack"/>
      <w:r w:rsidRPr="00E25BFF">
        <w:rPr>
          <w:caps/>
          <w:noProof/>
        </w:rPr>
        <w:drawing>
          <wp:inline distT="0" distB="0" distL="0" distR="0" wp14:anchorId="381CED68" wp14:editId="66BF4EAB">
            <wp:extent cx="9363075" cy="6181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C3F01" w:rsidRPr="00DC3F01" w:rsidSect="00DC3F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01"/>
    <w:rsid w:val="00206930"/>
    <w:rsid w:val="00DC3F01"/>
    <w:rsid w:val="00E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B9289-0E75-40AE-A526-CFC99BD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345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21</c:v>
                </c:pt>
                <c:pt idx="1">
                  <c:v>23</c:v>
                </c:pt>
                <c:pt idx="2">
                  <c:v>76</c:v>
                </c:pt>
                <c:pt idx="3">
                  <c:v>93</c:v>
                </c:pt>
                <c:pt idx="4">
                  <c:v>69</c:v>
                </c:pt>
                <c:pt idx="5">
                  <c:v>38</c:v>
                </c:pt>
                <c:pt idx="6">
                  <c:v>20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1139032"/>
        <c:axId val="421136680"/>
        <c:axId val="0"/>
      </c:bar3DChart>
      <c:catAx>
        <c:axId val="421139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136680"/>
        <c:crosses val="autoZero"/>
        <c:auto val="1"/>
        <c:lblAlgn val="ctr"/>
        <c:lblOffset val="100"/>
        <c:noMultiLvlLbl val="0"/>
      </c:catAx>
      <c:valAx>
        <c:axId val="421136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13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0.1587</cdr:x>
      <cdr:y>0.50385</cdr:y>
    </cdr:from>
    <cdr:to>
      <cdr:x>0.55646</cdr:x>
      <cdr:y>0.547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114675"/>
          <a:ext cx="3724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3</a:t>
          </a:r>
          <a:r>
            <a:rPr lang="en-US" sz="1100" b="1"/>
            <a:t>,243</a:t>
          </a:r>
          <a:r>
            <a:rPr lang="en-US" sz="1100"/>
            <a:t> - Average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0.1587</cdr:x>
      <cdr:y>0.56857</cdr:y>
    </cdr:from>
    <cdr:to>
      <cdr:x>0.5056</cdr:x>
      <cdr:y>0.61017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3514725"/>
          <a:ext cx="3248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2,633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0.15972</cdr:x>
      <cdr:y>0.6379</cdr:y>
    </cdr:from>
    <cdr:to>
      <cdr:x>0.50966</cdr:x>
      <cdr:y>0.67026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3943350"/>
          <a:ext cx="32766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0.15666</cdr:x>
      <cdr:y>0.62866</cdr:y>
    </cdr:from>
    <cdr:to>
      <cdr:x>0.50051</cdr:x>
      <cdr:y>0.67026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886200"/>
          <a:ext cx="3219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2,189</a:t>
          </a:r>
          <a:r>
            <a:rPr lang="en-US" sz="1100"/>
            <a:t> - Average Year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0.15768</cdr:x>
      <cdr:y>0.69183</cdr:y>
    </cdr:from>
    <cdr:to>
      <cdr:x>0.4822</cdr:x>
      <cdr:y>0.73344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276725"/>
          <a:ext cx="3038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1,822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0.1587</cdr:x>
      <cdr:y>0.75347</cdr:y>
    </cdr:from>
    <cdr:to>
      <cdr:x>0.54323</cdr:x>
      <cdr:y>0.79507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657725"/>
          <a:ext cx="3600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1,507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0.1587</cdr:x>
      <cdr:y>0.81664</cdr:y>
    </cdr:from>
    <cdr:to>
      <cdr:x>0.55951</cdr:x>
      <cdr:y>0.85824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5048250"/>
          <a:ext cx="3752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1,359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0.15768</cdr:x>
      <cdr:y>0.87827</cdr:y>
    </cdr:from>
    <cdr:to>
      <cdr:x>0.47813</cdr:x>
      <cdr:y>0.92296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429250"/>
          <a:ext cx="30003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1,246</a:t>
          </a:r>
          <a:r>
            <a:rPr lang="en-US" sz="1100"/>
            <a:t> 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0.15972</cdr:x>
      <cdr:y>0.93837</cdr:y>
    </cdr:from>
    <cdr:to>
      <cdr:x>0.50051</cdr:x>
      <cdr:y>0.99846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5800725"/>
          <a:ext cx="31908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1,290 </a:t>
          </a:r>
          <a:r>
            <a:rPr lang="en-US" sz="1100"/>
            <a:t>- Average Year Built </a:t>
          </a:r>
          <a:r>
            <a:rPr lang="en-US" sz="1100" b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2017-10-27T16:53:00Z</dcterms:created>
  <dcterms:modified xsi:type="dcterms:W3CDTF">2017-10-27T17:10:00Z</dcterms:modified>
</cp:coreProperties>
</file>